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FAB4B" w14:textId="10A718C2" w:rsidR="00145422" w:rsidRPr="00E53CF1" w:rsidRDefault="0053064D" w:rsidP="0053064D">
      <w:pPr>
        <w:pStyle w:val="Default"/>
        <w:ind w:left="567" w:right="401"/>
        <w:jc w:val="center"/>
        <w:rPr>
          <w:rFonts w:asciiTheme="minorHAnsi" w:hAnsiTheme="minorHAnsi" w:cstheme="minorHAnsi"/>
          <w:sz w:val="22"/>
          <w:szCs w:val="22"/>
        </w:rPr>
      </w:pPr>
      <w:r w:rsidRPr="002C5AAF">
        <w:rPr>
          <w:rFonts w:asciiTheme="minorHAnsi" w:hAnsiTheme="minorHAnsi" w:cstheme="minorHAnsi"/>
          <w:noProof/>
          <w:lang w:eastAsia="fr-FR"/>
        </w:rPr>
        <w:drawing>
          <wp:inline distT="0" distB="0" distL="0" distR="0" wp14:anchorId="756D7B1A" wp14:editId="0418903B">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5BCB4A77" w14:textId="77777777" w:rsidR="00137A91" w:rsidRPr="00E53CF1" w:rsidRDefault="00137A91" w:rsidP="0053064D">
      <w:pPr>
        <w:pStyle w:val="Default"/>
        <w:ind w:left="567" w:right="401"/>
        <w:rPr>
          <w:rFonts w:asciiTheme="minorHAnsi" w:hAnsiTheme="minorHAnsi" w:cstheme="minorHAnsi"/>
          <w:sz w:val="22"/>
          <w:szCs w:val="22"/>
        </w:rPr>
      </w:pPr>
    </w:p>
    <w:p w14:paraId="20F4987D" w14:textId="77777777" w:rsidR="00145422" w:rsidRPr="00E53CF1" w:rsidRDefault="00145422" w:rsidP="0053064D">
      <w:pPr>
        <w:pStyle w:val="Titre"/>
        <w:ind w:left="567" w:right="401"/>
        <w:jc w:val="center"/>
        <w:rPr>
          <w:rFonts w:asciiTheme="minorHAnsi" w:hAnsiTheme="minorHAnsi" w:cstheme="minorHAnsi"/>
          <w:sz w:val="36"/>
          <w:szCs w:val="36"/>
        </w:rPr>
      </w:pPr>
      <w:r w:rsidRPr="00E53CF1">
        <w:rPr>
          <w:rFonts w:asciiTheme="minorHAnsi" w:hAnsiTheme="minorHAnsi" w:cstheme="minorHAnsi"/>
          <w:sz w:val="36"/>
          <w:szCs w:val="36"/>
        </w:rPr>
        <w:t>STERILISATION CHU MONTPELLIER</w:t>
      </w:r>
    </w:p>
    <w:p w14:paraId="628AC468"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Les fournitures proposées doivent être conformes à la législation et réglementation en vigueur et : </w:t>
      </w:r>
    </w:p>
    <w:p w14:paraId="009DB130"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À</w:t>
      </w:r>
      <w:r w:rsidR="00145422" w:rsidRPr="00E53CF1">
        <w:rPr>
          <w:rFonts w:asciiTheme="minorHAnsi" w:hAnsiTheme="minorHAnsi" w:cstheme="minorHAnsi"/>
          <w:sz w:val="22"/>
          <w:szCs w:val="22"/>
        </w:rPr>
        <w:t xml:space="preserve"> la directive 93/42CEE du 14/06/1993 </w:t>
      </w:r>
    </w:p>
    <w:p w14:paraId="3CA32507"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Avoir</w:t>
      </w:r>
      <w:r w:rsidR="00145422" w:rsidRPr="00E53CF1">
        <w:rPr>
          <w:rFonts w:asciiTheme="minorHAnsi" w:hAnsiTheme="minorHAnsi" w:cstheme="minorHAnsi"/>
          <w:sz w:val="22"/>
          <w:szCs w:val="22"/>
        </w:rPr>
        <w:t xml:space="preserve"> obtenu le marquage CE </w:t>
      </w:r>
    </w:p>
    <w:p w14:paraId="59D045EC"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Au</w:t>
      </w:r>
      <w:r w:rsidR="00145422" w:rsidRPr="00E53CF1">
        <w:rPr>
          <w:rFonts w:asciiTheme="minorHAnsi" w:hAnsiTheme="minorHAnsi" w:cstheme="minorHAnsi"/>
          <w:sz w:val="22"/>
          <w:szCs w:val="22"/>
        </w:rPr>
        <w:t xml:space="preserve"> Décret n° 95-292 du 16 mars 1995 relatif aux dispositifs médicaux </w:t>
      </w:r>
    </w:p>
    <w:p w14:paraId="261765DF" w14:textId="77777777" w:rsidR="00145422" w:rsidRPr="00E53CF1" w:rsidRDefault="001B450B" w:rsidP="0053064D">
      <w:pPr>
        <w:pStyle w:val="Default"/>
        <w:numPr>
          <w:ilvl w:val="0"/>
          <w:numId w:val="1"/>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E53CF1" w:rsidRDefault="00145422" w:rsidP="0053064D">
      <w:pPr>
        <w:pStyle w:val="Default"/>
        <w:ind w:left="567" w:right="401"/>
        <w:jc w:val="both"/>
        <w:rPr>
          <w:rFonts w:asciiTheme="minorHAnsi" w:hAnsiTheme="minorHAnsi" w:cstheme="minorHAnsi"/>
          <w:sz w:val="22"/>
          <w:szCs w:val="22"/>
        </w:rPr>
      </w:pPr>
    </w:p>
    <w:p w14:paraId="60E9CA8A"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040BFDC2" w14:textId="7719E432" w:rsidR="00145422" w:rsidRPr="00E53CF1" w:rsidRDefault="001B450B" w:rsidP="0053064D">
      <w:pPr>
        <w:pStyle w:val="Default"/>
        <w:numPr>
          <w:ilvl w:val="0"/>
          <w:numId w:val="2"/>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Pr>
          <w:rFonts w:asciiTheme="minorHAnsi" w:hAnsiTheme="minorHAnsi" w:cstheme="minorHAnsi"/>
          <w:sz w:val="22"/>
          <w:szCs w:val="22"/>
        </w:rPr>
        <w:t xml:space="preserve"> </w:t>
      </w:r>
    </w:p>
    <w:p w14:paraId="5B12A4FC" w14:textId="77777777" w:rsidR="00145422" w:rsidRPr="00E53CF1" w:rsidRDefault="00145422" w:rsidP="0053064D">
      <w:pPr>
        <w:pStyle w:val="Default"/>
        <w:ind w:left="567" w:right="401"/>
        <w:jc w:val="both"/>
        <w:rPr>
          <w:rFonts w:asciiTheme="minorHAnsi" w:hAnsiTheme="minorHAnsi" w:cstheme="minorHAnsi"/>
          <w:sz w:val="22"/>
          <w:szCs w:val="22"/>
        </w:rPr>
      </w:pPr>
    </w:p>
    <w:p w14:paraId="75504983"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1 - Normes et Homologations </w:t>
      </w:r>
    </w:p>
    <w:p w14:paraId="24210AFF" w14:textId="77777777" w:rsidR="00145422" w:rsidRPr="00E53CF1" w:rsidRDefault="00145422" w:rsidP="0053064D">
      <w:pPr>
        <w:pStyle w:val="Default"/>
        <w:ind w:left="567" w:right="401"/>
        <w:rPr>
          <w:rFonts w:asciiTheme="minorHAnsi" w:hAnsiTheme="minorHAnsi" w:cstheme="minorHAnsi"/>
          <w:sz w:val="22"/>
          <w:szCs w:val="22"/>
        </w:rPr>
      </w:pPr>
      <w:r w:rsidRPr="00E53CF1">
        <w:rPr>
          <w:rFonts w:asciiTheme="minorHAnsi" w:hAnsiTheme="minorHAnsi" w:cstheme="minorHAnsi"/>
          <w:sz w:val="22"/>
          <w:szCs w:val="22"/>
        </w:rPr>
        <w:t xml:space="preserve">Les normes, ou normes équivalentes exigées sont essentiellement les suivantes : </w:t>
      </w:r>
    </w:p>
    <w:p w14:paraId="22AF9B66"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générales : </w:t>
      </w:r>
    </w:p>
    <w:p w14:paraId="45E96BD3" w14:textId="77777777" w:rsidR="00145422" w:rsidRPr="00E53CF1" w:rsidRDefault="00145422" w:rsidP="0053064D">
      <w:pPr>
        <w:pStyle w:val="Default"/>
        <w:ind w:left="567" w:right="401"/>
        <w:rPr>
          <w:rFonts w:asciiTheme="minorHAnsi" w:hAnsiTheme="minorHAnsi" w:cstheme="minorHAnsi"/>
          <w:sz w:val="22"/>
          <w:szCs w:val="22"/>
        </w:rPr>
      </w:pPr>
    </w:p>
    <w:p w14:paraId="26DA5A5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S 94-469 </w:t>
      </w:r>
      <w:r w:rsidRPr="00E53CF1">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XP S 94-467 </w:t>
      </w:r>
      <w:r w:rsidRPr="00E53CF1">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EN ISO 15 225 </w:t>
      </w:r>
      <w:r w:rsidRPr="00E53CF1">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Normes 29001, 29002 ou 29003 – EN 46001, EN 46002, EN 46003 spécifiques aux dispositifs médicaux.</w:t>
      </w:r>
    </w:p>
    <w:p w14:paraId="7C2CE7D1" w14:textId="77777777" w:rsidR="00145422" w:rsidRPr="00E53CF1" w:rsidRDefault="00145422" w:rsidP="0053064D">
      <w:pPr>
        <w:pStyle w:val="Default"/>
        <w:ind w:left="567" w:right="401"/>
        <w:jc w:val="both"/>
        <w:rPr>
          <w:rFonts w:asciiTheme="minorHAnsi" w:hAnsiTheme="minorHAnsi" w:cstheme="minorHAnsi"/>
          <w:sz w:val="22"/>
          <w:szCs w:val="22"/>
        </w:rPr>
      </w:pPr>
    </w:p>
    <w:p w14:paraId="61C63722"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 xml:space="preserve">Normes concernant les matériaux : </w:t>
      </w:r>
    </w:p>
    <w:p w14:paraId="0C3DF716" w14:textId="77777777" w:rsidR="00145422" w:rsidRPr="00E53CF1" w:rsidRDefault="00145422" w:rsidP="0053064D">
      <w:pPr>
        <w:pStyle w:val="Default"/>
        <w:ind w:left="567" w:right="401"/>
        <w:jc w:val="both"/>
        <w:rPr>
          <w:rFonts w:asciiTheme="minorHAnsi" w:hAnsiTheme="minorHAnsi" w:cstheme="minorHAnsi"/>
          <w:sz w:val="22"/>
          <w:szCs w:val="22"/>
        </w:rPr>
      </w:pPr>
    </w:p>
    <w:p w14:paraId="403CB167"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w:t>
      </w:r>
      <w:proofErr w:type="spellStart"/>
      <w:r w:rsidRPr="00E53CF1">
        <w:rPr>
          <w:rFonts w:asciiTheme="minorHAnsi" w:hAnsiTheme="minorHAnsi" w:cstheme="minorHAnsi"/>
          <w:sz w:val="22"/>
          <w:szCs w:val="22"/>
        </w:rPr>
        <w:t>austéno</w:t>
      </w:r>
      <w:proofErr w:type="spellEnd"/>
      <w:r w:rsidRPr="00E53CF1">
        <w:rPr>
          <w:rFonts w:asciiTheme="minorHAnsi" w:hAnsiTheme="minorHAnsi" w:cstheme="minorHAnsi"/>
          <w:sz w:val="22"/>
          <w:szCs w:val="22"/>
        </w:rPr>
        <w:t xml:space="preserve">-ferriques. (Indice de classement : S 94-090) (Novembre 2005) </w:t>
      </w:r>
    </w:p>
    <w:p w14:paraId="736E8EE9"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736D8052" w14:textId="77777777" w:rsidR="007933A3" w:rsidRPr="00E53CF1" w:rsidRDefault="007933A3" w:rsidP="0053064D">
      <w:pPr>
        <w:pStyle w:val="Default"/>
        <w:ind w:left="567" w:right="401"/>
        <w:jc w:val="both"/>
        <w:rPr>
          <w:rFonts w:asciiTheme="minorHAnsi" w:hAnsiTheme="minorHAnsi" w:cstheme="minorHAnsi"/>
          <w:sz w:val="22"/>
          <w:szCs w:val="22"/>
        </w:rPr>
      </w:pPr>
    </w:p>
    <w:p w14:paraId="4AE0B769"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Normes concernant les instruments : </w:t>
      </w:r>
    </w:p>
    <w:p w14:paraId="29E90718" w14:textId="4886CEBD" w:rsidR="00145422"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ISO 7151 (1988) : Instrument chirurgicaux – Instruments articulés, non tranchant </w:t>
      </w:r>
    </w:p>
    <w:p w14:paraId="76B5F516" w14:textId="55100CE0" w:rsidR="0009260D" w:rsidRDefault="0009260D" w:rsidP="0053064D">
      <w:pPr>
        <w:pStyle w:val="Default"/>
        <w:ind w:left="567" w:right="401"/>
        <w:jc w:val="both"/>
        <w:rPr>
          <w:rFonts w:asciiTheme="minorHAnsi" w:hAnsiTheme="minorHAnsi" w:cstheme="minorHAnsi"/>
          <w:sz w:val="22"/>
          <w:szCs w:val="22"/>
        </w:rPr>
      </w:pPr>
    </w:p>
    <w:p w14:paraId="63CACA82" w14:textId="77777777" w:rsidR="0009260D" w:rsidRPr="00E53CF1" w:rsidRDefault="0009260D" w:rsidP="0053064D">
      <w:pPr>
        <w:pStyle w:val="Default"/>
        <w:ind w:left="567" w:right="401"/>
        <w:jc w:val="both"/>
        <w:rPr>
          <w:rFonts w:asciiTheme="minorHAnsi" w:hAnsiTheme="minorHAnsi" w:cstheme="minorHAnsi"/>
          <w:sz w:val="22"/>
          <w:szCs w:val="22"/>
        </w:rPr>
      </w:pPr>
    </w:p>
    <w:p w14:paraId="6BC1F64A" w14:textId="77777777" w:rsidR="00145422" w:rsidRPr="00E53CF1" w:rsidRDefault="00145422" w:rsidP="0053064D">
      <w:pPr>
        <w:pStyle w:val="Default"/>
        <w:ind w:left="567" w:right="401"/>
        <w:jc w:val="both"/>
        <w:rPr>
          <w:rFonts w:asciiTheme="minorHAnsi" w:hAnsiTheme="minorHAnsi" w:cstheme="minorHAnsi"/>
          <w:sz w:val="22"/>
          <w:szCs w:val="22"/>
        </w:rPr>
      </w:pPr>
    </w:p>
    <w:p w14:paraId="0B12552B"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Spécifications générales et méthodes d'essai</w:t>
      </w:r>
      <w:r w:rsidR="007933A3" w:rsidRPr="0009260D">
        <w:rPr>
          <w:rFonts w:asciiTheme="minorHAnsi" w:hAnsiTheme="minorHAnsi" w:cstheme="minorHAnsi"/>
          <w:b/>
          <w:sz w:val="22"/>
          <w:szCs w:val="22"/>
        </w:rPr>
        <w:t xml:space="preserve"> : </w:t>
      </w:r>
    </w:p>
    <w:p w14:paraId="595A15D5" w14:textId="77777777" w:rsidR="007933A3" w:rsidRPr="00E53CF1" w:rsidRDefault="007933A3" w:rsidP="0053064D">
      <w:pPr>
        <w:pStyle w:val="Default"/>
        <w:ind w:left="567" w:right="401"/>
        <w:jc w:val="both"/>
        <w:rPr>
          <w:rFonts w:asciiTheme="minorHAnsi" w:hAnsiTheme="minorHAnsi" w:cstheme="minorHAnsi"/>
          <w:sz w:val="22"/>
          <w:szCs w:val="22"/>
        </w:rPr>
      </w:pPr>
    </w:p>
    <w:p w14:paraId="70046398" w14:textId="77777777" w:rsidR="00145422" w:rsidRPr="00E53CF1" w:rsidRDefault="00145422" w:rsidP="0053064D">
      <w:pPr>
        <w:pStyle w:val="Default"/>
        <w:numPr>
          <w:ilvl w:val="0"/>
          <w:numId w:val="8"/>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E53CF1" w:rsidRDefault="00145422" w:rsidP="0053064D">
      <w:pPr>
        <w:pStyle w:val="Default"/>
        <w:numPr>
          <w:ilvl w:val="0"/>
          <w:numId w:val="8"/>
        </w:numPr>
        <w:ind w:left="567" w:right="401"/>
        <w:jc w:val="both"/>
        <w:rPr>
          <w:rFonts w:asciiTheme="minorHAnsi" w:hAnsiTheme="minorHAnsi" w:cstheme="minorHAnsi"/>
          <w:color w:val="auto"/>
          <w:sz w:val="22"/>
          <w:szCs w:val="22"/>
        </w:rPr>
      </w:pPr>
      <w:r w:rsidRPr="00E53CF1">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E53CF1" w:rsidRDefault="00145422" w:rsidP="0053064D">
      <w:pPr>
        <w:pStyle w:val="Default"/>
        <w:ind w:left="567" w:right="401"/>
        <w:rPr>
          <w:rFonts w:asciiTheme="minorHAnsi" w:hAnsiTheme="minorHAnsi" w:cstheme="minorHAnsi"/>
          <w:color w:val="auto"/>
          <w:sz w:val="22"/>
          <w:szCs w:val="22"/>
        </w:rPr>
      </w:pPr>
    </w:p>
    <w:p w14:paraId="05BA64F7"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concernant la corrosion : </w:t>
      </w:r>
    </w:p>
    <w:p w14:paraId="5AC0021A" w14:textId="77777777" w:rsidR="00145422" w:rsidRPr="00E53CF1"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10271 </w:t>
      </w:r>
      <w:r w:rsidRPr="00E53CF1">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13402 (12/2002) </w:t>
      </w:r>
      <w:r w:rsidRPr="00E53CF1">
        <w:rPr>
          <w:rFonts w:asciiTheme="minorHAnsi" w:hAnsiTheme="minorHAnsi" w:cstheme="minorHAnsi"/>
          <w:color w:val="auto"/>
          <w:sz w:val="22"/>
          <w:szCs w:val="22"/>
        </w:rPr>
        <w:t xml:space="preserve">: Instruments chirurgicaux et dentaires à main </w:t>
      </w:r>
    </w:p>
    <w:p w14:paraId="0CA73AF0"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Détermination de la résistance au passage à l'autoclave, à la corrosion et à </w:t>
      </w:r>
      <w:r w:rsidR="001B450B" w:rsidRPr="00E53CF1">
        <w:rPr>
          <w:rFonts w:asciiTheme="minorHAnsi" w:hAnsiTheme="minorHAnsi" w:cstheme="minorHAnsi"/>
          <w:color w:val="auto"/>
          <w:sz w:val="22"/>
          <w:szCs w:val="22"/>
        </w:rPr>
        <w:t>l’exposition</w:t>
      </w:r>
      <w:r w:rsidRPr="00E53CF1">
        <w:rPr>
          <w:rFonts w:asciiTheme="minorHAnsi" w:hAnsiTheme="minorHAnsi" w:cstheme="minorHAnsi"/>
          <w:color w:val="auto"/>
          <w:sz w:val="22"/>
          <w:szCs w:val="22"/>
        </w:rPr>
        <w:t xml:space="preserve"> à la chaleur. </w:t>
      </w:r>
    </w:p>
    <w:p w14:paraId="068CC5A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S 94-402-1 </w:t>
      </w:r>
      <w:r w:rsidRPr="00E53CF1">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PR FD S 94-468 </w:t>
      </w:r>
      <w:r w:rsidRPr="00E53CF1">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E53CF1" w:rsidRDefault="00145422" w:rsidP="0053064D">
      <w:pPr>
        <w:pStyle w:val="Default"/>
        <w:ind w:left="567" w:right="401"/>
        <w:rPr>
          <w:rFonts w:asciiTheme="minorHAnsi" w:hAnsiTheme="minorHAnsi" w:cstheme="minorHAnsi"/>
          <w:color w:val="auto"/>
          <w:sz w:val="22"/>
          <w:szCs w:val="22"/>
        </w:rPr>
      </w:pPr>
    </w:p>
    <w:p w14:paraId="6E355340" w14:textId="77777777" w:rsidR="00145422" w:rsidRPr="00E53CF1" w:rsidRDefault="00145422" w:rsidP="0053064D">
      <w:pPr>
        <w:pStyle w:val="Default"/>
        <w:ind w:left="567" w:right="401"/>
        <w:rPr>
          <w:rFonts w:asciiTheme="minorHAnsi" w:hAnsiTheme="minorHAnsi" w:cstheme="minorHAnsi"/>
          <w:color w:val="auto"/>
          <w:sz w:val="28"/>
          <w:szCs w:val="28"/>
        </w:rPr>
      </w:pPr>
    </w:p>
    <w:p w14:paraId="0EC7AFC5"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2 - Exigences souhaitées relatives aux procédés applicables aux dispositifs médicaux réutilisables </w:t>
      </w:r>
    </w:p>
    <w:p w14:paraId="1DAED33D" w14:textId="77777777" w:rsidR="00145422" w:rsidRPr="00E53CF1" w:rsidRDefault="00145422" w:rsidP="0053064D">
      <w:pPr>
        <w:pStyle w:val="Titre2"/>
        <w:numPr>
          <w:ilvl w:val="1"/>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Modalités de livraison du matériel neuf : </w:t>
      </w:r>
    </w:p>
    <w:p w14:paraId="56EA8740"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neufs seront livrés : </w:t>
      </w:r>
    </w:p>
    <w:p w14:paraId="7E539603"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E53CF1">
        <w:rPr>
          <w:rFonts w:asciiTheme="minorHAnsi" w:hAnsiTheme="minorHAnsi" w:cstheme="minorHAnsi"/>
          <w:color w:val="auto"/>
          <w:sz w:val="22"/>
          <w:szCs w:val="22"/>
        </w:rPr>
        <w:t>ent en vue d’une stérilisation en autoclave (</w:t>
      </w:r>
      <w:r w:rsidR="001B450B" w:rsidRPr="00E53CF1">
        <w:rPr>
          <w:rFonts w:asciiTheme="minorHAnsi" w:hAnsiTheme="minorHAnsi" w:cstheme="minorHAnsi"/>
          <w:color w:val="auto"/>
          <w:sz w:val="22"/>
          <w:szCs w:val="22"/>
        </w:rPr>
        <w:t>Démontage</w:t>
      </w:r>
      <w:r w:rsidR="00145422" w:rsidRPr="00E53CF1">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Prétraités </w:t>
      </w:r>
    </w:p>
    <w:p w14:paraId="3B52141A"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Passivés </w:t>
      </w:r>
    </w:p>
    <w:p w14:paraId="56DA0635"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Sans trace d'hydrocarbure </w:t>
      </w:r>
    </w:p>
    <w:p w14:paraId="052CF427"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289F27EE"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 Procédés de traitements appliqués au CHU de </w:t>
      </w:r>
      <w:r w:rsidR="001B450B" w:rsidRPr="00E53CF1">
        <w:rPr>
          <w:rFonts w:asciiTheme="minorHAnsi" w:hAnsiTheme="minorHAnsi" w:cstheme="minorHAnsi"/>
          <w:sz w:val="22"/>
          <w:szCs w:val="22"/>
        </w:rPr>
        <w:t>Montpellier :</w:t>
      </w:r>
      <w:r w:rsidRPr="00E53CF1">
        <w:rPr>
          <w:rFonts w:asciiTheme="minorHAnsi" w:hAnsiTheme="minorHAnsi" w:cstheme="minorHAnsi"/>
          <w:sz w:val="22"/>
          <w:szCs w:val="22"/>
        </w:rPr>
        <w:t xml:space="preserve"> </w:t>
      </w:r>
    </w:p>
    <w:p w14:paraId="7CCB8B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2.2.1 Pour la mise en service du matériel neuf : </w:t>
      </w:r>
    </w:p>
    <w:p w14:paraId="27C42BB0"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w:t>
      </w:r>
      <w:r w:rsidR="00145422" w:rsidRPr="00E53CF1">
        <w:rPr>
          <w:rFonts w:asciiTheme="minorHAnsi" w:hAnsiTheme="minorHAnsi" w:cstheme="minorHAnsi"/>
          <w:color w:val="auto"/>
          <w:sz w:val="22"/>
          <w:szCs w:val="22"/>
        </w:rPr>
        <w:t>en laveur désinfecteur : 3 lavages à 55° (10’) - détergent inactivant total (</w:t>
      </w:r>
      <w:r w:rsidRPr="00E53CF1">
        <w:rPr>
          <w:rFonts w:asciiTheme="minorHAnsi" w:hAnsiTheme="minorHAnsi" w:cstheme="minorHAnsi"/>
          <w:color w:val="auto"/>
          <w:sz w:val="22"/>
          <w:szCs w:val="22"/>
        </w:rPr>
        <w:t xml:space="preserve">ph </w:t>
      </w:r>
      <w:r w:rsidR="00145422" w:rsidRPr="00E53CF1">
        <w:rPr>
          <w:rFonts w:asciiTheme="minorHAnsi" w:hAnsiTheme="minorHAnsi" w:cstheme="minorHAnsi"/>
          <w:color w:val="auto"/>
          <w:sz w:val="22"/>
          <w:szCs w:val="22"/>
        </w:rPr>
        <w:t xml:space="preserve">très alcalin - &gt;11 par exemple) </w:t>
      </w:r>
    </w:p>
    <w:p w14:paraId="2BCCCD17"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w:t>
      </w:r>
      <w:r w:rsidR="00145422" w:rsidRPr="00E53CF1">
        <w:rPr>
          <w:rFonts w:asciiTheme="minorHAnsi" w:hAnsiTheme="minorHAnsi" w:cstheme="minorHAnsi"/>
          <w:color w:val="auto"/>
          <w:sz w:val="22"/>
          <w:szCs w:val="22"/>
        </w:rPr>
        <w:t xml:space="preserve">en autoclave vapeur 134° /18mn </w:t>
      </w:r>
    </w:p>
    <w:p w14:paraId="6AE4B023"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6246252D" w14:textId="77777777" w:rsidR="00145422" w:rsidRPr="00E53CF1"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2.2.2 Pour un traitement en routine : </w:t>
      </w:r>
    </w:p>
    <w:p w14:paraId="6828FC78"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traitement dans un bac à ultra- sons (si nécessaire) </w:t>
      </w:r>
    </w:p>
    <w:p w14:paraId="076A6DB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désinfection avec pré désinfectant enzymatique </w:t>
      </w:r>
    </w:p>
    <w:p w14:paraId="19001BC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en autoclave vapeur 134° /18mn </w:t>
      </w:r>
    </w:p>
    <w:p w14:paraId="36C03C06"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2.2.3 Pour un traitement de rénovation au cas par </w:t>
      </w:r>
      <w:r w:rsidR="001B450B" w:rsidRPr="00E53CF1">
        <w:rPr>
          <w:rFonts w:asciiTheme="minorHAnsi" w:hAnsiTheme="minorHAnsi" w:cstheme="minorHAnsi"/>
          <w:sz w:val="22"/>
          <w:szCs w:val="22"/>
        </w:rPr>
        <w:t>cas :</w:t>
      </w:r>
      <w:r w:rsidRPr="00E53CF1">
        <w:rPr>
          <w:rFonts w:asciiTheme="minorHAnsi" w:hAnsiTheme="minorHAnsi" w:cstheme="minorHAnsi"/>
          <w:sz w:val="22"/>
          <w:szCs w:val="22"/>
        </w:rPr>
        <w:t xml:space="preserve"> </w:t>
      </w:r>
    </w:p>
    <w:p w14:paraId="245A896D"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L'acide phosphorique est utilisé pour cette opération </w:t>
      </w:r>
    </w:p>
    <w:p w14:paraId="4056D56B"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2.3 Procédés de traitement </w:t>
      </w:r>
      <w:r w:rsidR="001B450B" w:rsidRPr="00E53CF1">
        <w:rPr>
          <w:rFonts w:asciiTheme="minorHAnsi" w:hAnsiTheme="minorHAnsi" w:cstheme="minorHAnsi"/>
          <w:sz w:val="22"/>
          <w:szCs w:val="22"/>
        </w:rPr>
        <w:t>particuliers :</w:t>
      </w:r>
      <w:r w:rsidRPr="00E53CF1">
        <w:rPr>
          <w:rFonts w:asciiTheme="minorHAnsi" w:hAnsiTheme="minorHAnsi" w:cstheme="minorHAnsi"/>
          <w:sz w:val="22"/>
          <w:szCs w:val="22"/>
        </w:rPr>
        <w:t xml:space="preserve"> </w:t>
      </w:r>
    </w:p>
    <w:p w14:paraId="5E4633E6"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En référence aux précautions à observer en vue de réduire les risques de transmission des </w:t>
      </w:r>
    </w:p>
    <w:p w14:paraId="4641EA14"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ATNC (agents transmissibles non conventionnels) </w:t>
      </w:r>
    </w:p>
    <w:p w14:paraId="69BDCDD7"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318EA35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devront impérativement supporter une immersion dans une solution de soude 1N à 20°C pendant 1heure ou tout autre procédé d’inactivation totale. Si tel n'est pas le cas, l'information devra être donnée par écrit. </w:t>
      </w:r>
    </w:p>
    <w:p w14:paraId="481E4D6D" w14:textId="77777777" w:rsidR="00145422" w:rsidRPr="00E53CF1" w:rsidRDefault="00145422" w:rsidP="0053064D">
      <w:pPr>
        <w:pStyle w:val="Default"/>
        <w:ind w:left="567" w:right="401"/>
        <w:rPr>
          <w:rFonts w:asciiTheme="minorHAnsi" w:hAnsiTheme="minorHAnsi" w:cstheme="minorHAnsi"/>
          <w:color w:val="auto"/>
          <w:sz w:val="22"/>
          <w:szCs w:val="22"/>
        </w:rPr>
      </w:pPr>
    </w:p>
    <w:p w14:paraId="4D8D273D"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2.4 Non conformités : </w:t>
      </w:r>
    </w:p>
    <w:p w14:paraId="3B27246E"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0111828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2.5 Incompatibilité des traitements cités ci-dessus : </w:t>
      </w:r>
    </w:p>
    <w:p w14:paraId="17C9EC3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cas d'incompatibilité ou de contrainte technique autre que celles cités aux articles 2.1; 2.2 et le candidat devra le stipuler.</w:t>
      </w:r>
    </w:p>
    <w:p w14:paraId="38787631" w14:textId="256811C2" w:rsidR="00273F86" w:rsidRDefault="00273F86" w:rsidP="0053064D">
      <w:pPr>
        <w:pStyle w:val="Default"/>
        <w:ind w:left="567" w:right="401"/>
        <w:jc w:val="both"/>
        <w:rPr>
          <w:rFonts w:asciiTheme="minorHAnsi" w:hAnsiTheme="minorHAnsi" w:cstheme="minorHAnsi"/>
          <w:color w:val="auto"/>
          <w:sz w:val="22"/>
          <w:szCs w:val="22"/>
        </w:rPr>
      </w:pPr>
    </w:p>
    <w:p w14:paraId="5D32D1CE" w14:textId="77777777" w:rsidR="00273F86" w:rsidRPr="00273F86" w:rsidRDefault="00273F86" w:rsidP="00273F86"/>
    <w:p w14:paraId="19043E95" w14:textId="77777777" w:rsidR="00273F86" w:rsidRPr="00273F86" w:rsidRDefault="00273F86" w:rsidP="00273F86"/>
    <w:p w14:paraId="3186B60B" w14:textId="77777777" w:rsidR="00273F86" w:rsidRPr="00273F86" w:rsidRDefault="00273F86" w:rsidP="00273F86"/>
    <w:p w14:paraId="375F8D10" w14:textId="77777777" w:rsidR="00273F86" w:rsidRPr="00273F86" w:rsidRDefault="00273F86" w:rsidP="00273F86"/>
    <w:p w14:paraId="686DEFC4" w14:textId="77777777" w:rsidR="00273F86" w:rsidRPr="00273F86" w:rsidRDefault="00273F86" w:rsidP="00273F86"/>
    <w:p w14:paraId="3725ED97" w14:textId="77777777" w:rsidR="00273F86" w:rsidRPr="00273F86" w:rsidRDefault="00273F86" w:rsidP="00273F86"/>
    <w:p w14:paraId="5A8DC958" w14:textId="77777777" w:rsidR="00273F86" w:rsidRPr="00273F86" w:rsidRDefault="00273F86" w:rsidP="00273F86"/>
    <w:p w14:paraId="108377CB" w14:textId="77777777" w:rsidR="00273F86" w:rsidRPr="00273F86" w:rsidRDefault="00273F86" w:rsidP="00273F86"/>
    <w:p w14:paraId="322D4EB2" w14:textId="77777777" w:rsidR="00273F86" w:rsidRPr="00273F86" w:rsidRDefault="00273F86" w:rsidP="00273F86"/>
    <w:p w14:paraId="5EA24864" w14:textId="77777777" w:rsidR="00273F86" w:rsidRPr="00273F86" w:rsidRDefault="00273F86" w:rsidP="00273F86"/>
    <w:p w14:paraId="6B585FDA" w14:textId="77777777" w:rsidR="00273F86" w:rsidRPr="00273F86" w:rsidRDefault="00273F86" w:rsidP="00273F86"/>
    <w:p w14:paraId="24B2A965" w14:textId="77777777" w:rsidR="00273F86" w:rsidRPr="00273F86" w:rsidRDefault="00273F86" w:rsidP="00273F86"/>
    <w:p w14:paraId="65B1BEC3" w14:textId="77777777" w:rsidR="00273F86" w:rsidRPr="00273F86" w:rsidRDefault="00273F86" w:rsidP="00273F86"/>
    <w:p w14:paraId="105C29EE" w14:textId="77777777" w:rsidR="00273F86" w:rsidRPr="00273F86" w:rsidRDefault="00273F86" w:rsidP="00273F86"/>
    <w:p w14:paraId="247E0696" w14:textId="6EF03633" w:rsidR="00145422" w:rsidRPr="00273F86" w:rsidRDefault="00145422" w:rsidP="00273F86">
      <w:pPr>
        <w:jc w:val="center"/>
      </w:pPr>
    </w:p>
    <w:sectPr w:rsidR="00145422" w:rsidRPr="00273F86" w:rsidSect="007933A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098747"/>
      <w:docPartObj>
        <w:docPartGallery w:val="Page Numbers (Bottom of Page)"/>
        <w:docPartUnique/>
      </w:docPartObj>
    </w:sdtPr>
    <w:sdtEndPr/>
    <w:sdtContent>
      <w:p w14:paraId="39E89DB8" w14:textId="57B86CE2" w:rsidR="00FF762C" w:rsidRDefault="00FF762C">
        <w:pPr>
          <w:pStyle w:val="Pieddepage"/>
          <w:jc w:val="right"/>
        </w:pPr>
        <w:r>
          <w:fldChar w:fldCharType="begin"/>
        </w:r>
        <w:r>
          <w:instrText>PAGE   \* MERGEFORMAT</w:instrText>
        </w:r>
        <w:r>
          <w:fldChar w:fldCharType="separate"/>
        </w:r>
        <w:r w:rsidR="00C53E79">
          <w:rPr>
            <w:noProof/>
          </w:rPr>
          <w:t>3</w:t>
        </w:r>
        <w:r>
          <w:fldChar w:fldCharType="end"/>
        </w:r>
      </w:p>
    </w:sdtContent>
  </w:sdt>
  <w:p w14:paraId="080A8579" w14:textId="77777777" w:rsidR="00423B63" w:rsidRDefault="00423B63" w:rsidP="00423B63">
    <w:pPr>
      <w:pStyle w:val="Pieddepage"/>
      <w:jc w:val="center"/>
    </w:pPr>
    <w:r>
      <w:t xml:space="preserve">25A0212 – </w:t>
    </w:r>
    <w:r w:rsidRPr="00333874">
      <w:t>FOURNITURES DE DISPOSITIFS MEDICAUX NEUROCHIRURGIE AVEC MISE A DISPOSITION D’EQUIPEMENTS DEDIES POUR LE CHU DE MONTPELLIER ETABLISSEMENT SUPPORT DU GHT DE L’EST HERAULT ET DU SUD AVEYRON</w:t>
    </w:r>
  </w:p>
  <w:p w14:paraId="2BF77CBA" w14:textId="35B8A7CF" w:rsidR="00FF762C" w:rsidRDefault="00FF762C" w:rsidP="00423B63">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37733E"/>
    <w:multiLevelType w:val="hybridMultilevel"/>
    <w:tmpl w:val="B43C11F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9388422">
    <w:abstractNumId w:val="0"/>
  </w:num>
  <w:num w:numId="2" w16cid:durableId="1776440743">
    <w:abstractNumId w:val="10"/>
  </w:num>
  <w:num w:numId="3" w16cid:durableId="398216938">
    <w:abstractNumId w:val="12"/>
  </w:num>
  <w:num w:numId="4" w16cid:durableId="1214386350">
    <w:abstractNumId w:val="2"/>
  </w:num>
  <w:num w:numId="5" w16cid:durableId="1741558522">
    <w:abstractNumId w:val="13"/>
  </w:num>
  <w:num w:numId="6" w16cid:durableId="1679845938">
    <w:abstractNumId w:val="7"/>
  </w:num>
  <w:num w:numId="7" w16cid:durableId="1814326158">
    <w:abstractNumId w:val="8"/>
  </w:num>
  <w:num w:numId="8" w16cid:durableId="828788100">
    <w:abstractNumId w:val="4"/>
  </w:num>
  <w:num w:numId="9" w16cid:durableId="1074934005">
    <w:abstractNumId w:val="9"/>
  </w:num>
  <w:num w:numId="10" w16cid:durableId="1120566218">
    <w:abstractNumId w:val="1"/>
  </w:num>
  <w:num w:numId="11" w16cid:durableId="1384065423">
    <w:abstractNumId w:val="14"/>
  </w:num>
  <w:num w:numId="12" w16cid:durableId="1106734391">
    <w:abstractNumId w:val="11"/>
  </w:num>
  <w:num w:numId="13" w16cid:durableId="829172294">
    <w:abstractNumId w:val="3"/>
  </w:num>
  <w:num w:numId="14" w16cid:durableId="269357640">
    <w:abstractNumId w:val="5"/>
  </w:num>
  <w:num w:numId="15" w16cid:durableId="9474710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422"/>
    <w:rsid w:val="0009260D"/>
    <w:rsid w:val="001328AF"/>
    <w:rsid w:val="00137A91"/>
    <w:rsid w:val="00145422"/>
    <w:rsid w:val="001B450B"/>
    <w:rsid w:val="00273F86"/>
    <w:rsid w:val="00423B63"/>
    <w:rsid w:val="0053064D"/>
    <w:rsid w:val="00703FE4"/>
    <w:rsid w:val="00714C42"/>
    <w:rsid w:val="00725FF7"/>
    <w:rsid w:val="007366EF"/>
    <w:rsid w:val="007933A3"/>
    <w:rsid w:val="007935A2"/>
    <w:rsid w:val="00873DE6"/>
    <w:rsid w:val="00A55F9F"/>
    <w:rsid w:val="00B32977"/>
    <w:rsid w:val="00BF7881"/>
    <w:rsid w:val="00C03285"/>
    <w:rsid w:val="00C36E2B"/>
    <w:rsid w:val="00C53E79"/>
    <w:rsid w:val="00E53CF1"/>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 w:type="character" w:customStyle="1" w:styleId="RedTxtCar">
    <w:name w:val="RedTxt Car"/>
    <w:link w:val="RedTxt"/>
    <w:locked/>
    <w:rsid w:val="00C53E79"/>
    <w:rPr>
      <w:rFonts w:ascii="Arial" w:hAnsi="Arial" w:cs="Arial"/>
    </w:rPr>
  </w:style>
  <w:style w:type="paragraph" w:customStyle="1" w:styleId="RedTxt">
    <w:name w:val="RedTxt"/>
    <w:basedOn w:val="Normal"/>
    <w:link w:val="RedTxtCar"/>
    <w:rsid w:val="00C53E79"/>
    <w:pPr>
      <w:widowControl w:val="0"/>
      <w:autoSpaceDE w:val="0"/>
      <w:autoSpaceDN w:val="0"/>
      <w:adjustRightInd w:val="0"/>
      <w:spacing w:before="20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685259">
      <w:bodyDiv w:val="1"/>
      <w:marLeft w:val="0"/>
      <w:marRight w:val="0"/>
      <w:marTop w:val="0"/>
      <w:marBottom w:val="0"/>
      <w:divBdr>
        <w:top w:val="none" w:sz="0" w:space="0" w:color="auto"/>
        <w:left w:val="none" w:sz="0" w:space="0" w:color="auto"/>
        <w:bottom w:val="none" w:sz="0" w:space="0" w:color="auto"/>
        <w:right w:val="none" w:sz="0" w:space="0" w:color="auto"/>
      </w:divBdr>
    </w:div>
    <w:div w:id="370957771">
      <w:bodyDiv w:val="1"/>
      <w:marLeft w:val="0"/>
      <w:marRight w:val="0"/>
      <w:marTop w:val="0"/>
      <w:marBottom w:val="0"/>
      <w:divBdr>
        <w:top w:val="none" w:sz="0" w:space="0" w:color="auto"/>
        <w:left w:val="none" w:sz="0" w:space="0" w:color="auto"/>
        <w:bottom w:val="none" w:sz="0" w:space="0" w:color="auto"/>
        <w:right w:val="none" w:sz="0" w:space="0" w:color="auto"/>
      </w:divBdr>
    </w:div>
    <w:div w:id="52464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1047</Words>
  <Characters>5764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RANAWAKA TANTIRIGE CECILE</cp:lastModifiedBy>
  <cp:revision>16</cp:revision>
  <dcterms:created xsi:type="dcterms:W3CDTF">2019-04-08T13:34:00Z</dcterms:created>
  <dcterms:modified xsi:type="dcterms:W3CDTF">2025-12-26T12:30:00Z</dcterms:modified>
</cp:coreProperties>
</file>